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97" w:type="dxa"/>
        <w:tblInd w:w="-1026" w:type="dxa"/>
        <w:tblLayout w:type="fixed"/>
        <w:tblLook w:val="04A0"/>
      </w:tblPr>
      <w:tblGrid>
        <w:gridCol w:w="425"/>
        <w:gridCol w:w="2269"/>
        <w:gridCol w:w="646"/>
        <w:gridCol w:w="629"/>
        <w:gridCol w:w="354"/>
        <w:gridCol w:w="1631"/>
        <w:gridCol w:w="181"/>
        <w:gridCol w:w="1095"/>
        <w:gridCol w:w="1750"/>
        <w:gridCol w:w="787"/>
        <w:gridCol w:w="585"/>
        <w:gridCol w:w="245"/>
      </w:tblGrid>
      <w:tr w:rsidR="009D1BF1" w:rsidRPr="009D1BF1" w:rsidTr="008A0808">
        <w:trPr>
          <w:gridBefore w:val="1"/>
          <w:wBefore w:w="425" w:type="dxa"/>
          <w:trHeight w:val="255"/>
        </w:trPr>
        <w:tc>
          <w:tcPr>
            <w:tcW w:w="934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казенное учреждение "Финансовое управление Исполнительного комитета муниципального образования города Казани"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1BF1" w:rsidRPr="009D1BF1" w:rsidTr="008A0808">
        <w:trPr>
          <w:gridBefore w:val="1"/>
          <w:wBefore w:w="425" w:type="dxa"/>
          <w:trHeight w:val="255"/>
        </w:trPr>
        <w:tc>
          <w:tcPr>
            <w:tcW w:w="68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(наименование органа, исполняющего бюджет)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1BF1" w:rsidRPr="009D1BF1" w:rsidTr="008A0808">
        <w:trPr>
          <w:gridBefore w:val="1"/>
          <w:wBefore w:w="425" w:type="dxa"/>
          <w:trHeight w:val="285"/>
        </w:trPr>
        <w:tc>
          <w:tcPr>
            <w:tcW w:w="29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1BF1" w:rsidRPr="009D1BF1" w:rsidTr="008A0808">
        <w:trPr>
          <w:gridBefore w:val="1"/>
          <w:wBefore w:w="425" w:type="dxa"/>
          <w:trHeight w:val="285"/>
        </w:trPr>
        <w:tc>
          <w:tcPr>
            <w:tcW w:w="38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31.12.2016 г.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D1BF1" w:rsidRPr="009D1BF1" w:rsidTr="008A0808">
        <w:trPr>
          <w:gridBefore w:val="1"/>
          <w:wBefore w:w="425" w:type="dxa"/>
          <w:trHeight w:val="160"/>
        </w:trPr>
        <w:tc>
          <w:tcPr>
            <w:tcW w:w="57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1BF1" w:rsidRPr="009D1BF1" w:rsidTr="008A0808">
        <w:trPr>
          <w:gridBefore w:val="1"/>
          <w:wBefore w:w="425" w:type="dxa"/>
          <w:trHeight w:val="255"/>
        </w:trPr>
        <w:tc>
          <w:tcPr>
            <w:tcW w:w="1017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1BF1" w:rsidRPr="009D1BF1" w:rsidTr="008A0808">
        <w:trPr>
          <w:gridBefore w:val="1"/>
          <w:wBefore w:w="425" w:type="dxa"/>
          <w:trHeight w:val="80"/>
        </w:trPr>
        <w:tc>
          <w:tcPr>
            <w:tcW w:w="992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gridBefore w:val="1"/>
          <w:wBefore w:w="425" w:type="dxa"/>
          <w:trHeight w:val="255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D1BF1" w:rsidRPr="009D1BF1" w:rsidRDefault="009D1BF1" w:rsidP="009D1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630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Бюджетополучатель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КОСГУ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КОСГУ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остаток на 01.01.16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Финансирование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Расход по ЛС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675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Заработная плата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14 872 640,88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1125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Начисления на выплаты по оплате труда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4 477 298,00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675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связи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36 904,69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675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1 911 278,66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1350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Работы, услуги по содержанию имущества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748 267,16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675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работы, услуги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305 321,20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2250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Безвозмездные перечисления государственным и муниципальным организациям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59 210,39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23 643 626,79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675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расходы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1 077 521,88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1125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основных средств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148 542,91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1350"/>
        </w:trPr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стоимости материальных запасов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106 245,70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08" w:rsidRPr="009D1BF1" w:rsidTr="008A0808">
        <w:trPr>
          <w:trHeight w:val="675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МБОУ Школа № 79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59 210,39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23 643 626,79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1BF1" w:rsidRPr="009D1BF1" w:rsidRDefault="009D1BF1" w:rsidP="008A08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1B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23 684 021,08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1BF1" w:rsidRPr="009D1BF1" w:rsidRDefault="009D1BF1" w:rsidP="008A0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A47A0" w:rsidRDefault="005A47A0" w:rsidP="008A0808">
      <w:pPr>
        <w:spacing w:line="240" w:lineRule="auto"/>
      </w:pPr>
    </w:p>
    <w:sectPr w:rsidR="005A47A0" w:rsidSect="005A4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1BF1"/>
    <w:rsid w:val="005A47A0"/>
    <w:rsid w:val="008A0808"/>
    <w:rsid w:val="009D1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7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92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2017-01-11T10:50:00Z</dcterms:created>
  <dcterms:modified xsi:type="dcterms:W3CDTF">2017-01-11T12:14:00Z</dcterms:modified>
</cp:coreProperties>
</file>